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tabs>
          <w:tab w:val="left" w:pos="0"/>
        </w:tabs>
        <w:autoSpaceDE w:val="0"/>
        <w:autoSpaceDN w:val="0"/>
        <w:adjustRightInd w:val="0"/>
        <w:spacing w:before="0" w:after="0" w:line="360" w:lineRule="auto"/>
        <w:jc w:val="center"/>
        <w:rPr>
          <w:rFonts w:ascii="华文中宋" w:hAnsi="华文中宋" w:eastAsia="华文中宋"/>
        </w:rPr>
      </w:pPr>
      <w:bookmarkStart w:id="0" w:name="_Toc35393809"/>
      <w:bookmarkStart w:id="1" w:name="_Toc28359022"/>
      <w:r>
        <w:rPr>
          <w:rFonts w:hint="eastAsia" w:ascii="华文中宋" w:hAnsi="华文中宋" w:eastAsia="华文中宋"/>
        </w:rPr>
        <w:t>中标（成交）结果公告</w:t>
      </w:r>
      <w:bookmarkEnd w:id="0"/>
      <w:bookmarkEnd w:id="1"/>
    </w:p>
    <w:p>
      <w:pPr>
        <w:rPr>
          <w:rFonts w:hint="default" w:ascii="仿宋" w:hAnsi="仿宋" w:eastAsia="仿宋" w:cs="仿宋"/>
          <w:sz w:val="28"/>
          <w:szCs w:val="28"/>
          <w:lang w:val="en-US" w:eastAsia="zh-CN"/>
        </w:rPr>
      </w:pPr>
      <w:r>
        <w:rPr>
          <w:rFonts w:hint="eastAsia" w:ascii="黑体" w:hAnsi="黑体" w:eastAsia="黑体"/>
          <w:sz w:val="28"/>
          <w:szCs w:val="28"/>
        </w:rPr>
        <w:t>一</w:t>
      </w:r>
      <w:r>
        <w:rPr>
          <w:rFonts w:ascii="黑体" w:hAnsi="黑体" w:eastAsia="黑体"/>
          <w:sz w:val="28"/>
          <w:szCs w:val="28"/>
        </w:rPr>
        <w:t>、</w:t>
      </w:r>
      <w:r>
        <w:rPr>
          <w:rFonts w:hint="eastAsia" w:ascii="黑体" w:hAnsi="黑体" w:eastAsia="黑体"/>
          <w:sz w:val="28"/>
          <w:szCs w:val="28"/>
        </w:rPr>
        <w:t>项目编号（</w:t>
      </w:r>
      <w:r>
        <w:rPr>
          <w:rFonts w:hint="eastAsia" w:ascii="黑体" w:hAnsi="黑体" w:eastAsia="黑体"/>
          <w:i/>
          <w:iCs/>
          <w:sz w:val="28"/>
          <w:szCs w:val="28"/>
        </w:rPr>
        <w:t>或招标编号、政府采购计划编号、采购计划备案文号等，如有</w:t>
      </w:r>
      <w:r>
        <w:rPr>
          <w:rFonts w:hint="eastAsia" w:ascii="黑体" w:hAnsi="黑体" w:eastAsia="黑体"/>
          <w:sz w:val="28"/>
          <w:szCs w:val="28"/>
        </w:rPr>
        <w:t>）：</w:t>
      </w:r>
      <w:r>
        <w:rPr>
          <w:rFonts w:hint="eastAsia" w:ascii="仿宋" w:hAnsi="仿宋" w:eastAsia="仿宋" w:cs="仿宋"/>
          <w:color w:val="000000"/>
          <w:sz w:val="28"/>
          <w:szCs w:val="28"/>
          <w:highlight w:val="none"/>
          <w:u w:val="none"/>
        </w:rPr>
        <w:t>TAHP-ZB-2026-0344</w:t>
      </w:r>
      <w:r>
        <w:rPr>
          <w:rFonts w:hint="eastAsia" w:ascii="仿宋" w:hAnsi="仿宋" w:eastAsia="仿宋" w:cs="仿宋"/>
          <w:color w:val="000000"/>
          <w:sz w:val="28"/>
          <w:szCs w:val="28"/>
          <w:highlight w:val="none"/>
          <w:u w:val="none"/>
          <w:lang w:val="en-US" w:eastAsia="zh-CN"/>
        </w:rPr>
        <w:t>-CG</w:t>
      </w:r>
    </w:p>
    <w:p>
      <w:pPr>
        <w:rPr>
          <w:rFonts w:ascii="黑体" w:hAnsi="黑体" w:eastAsia="黑体"/>
          <w:sz w:val="28"/>
          <w:szCs w:val="28"/>
          <w:u w:val="single"/>
        </w:rPr>
      </w:pPr>
      <w:r>
        <w:rPr>
          <w:rFonts w:hint="eastAsia" w:ascii="黑体" w:hAnsi="黑体" w:eastAsia="黑体"/>
          <w:sz w:val="28"/>
          <w:szCs w:val="28"/>
        </w:rPr>
        <w:t>二</w:t>
      </w:r>
      <w:r>
        <w:rPr>
          <w:rFonts w:ascii="黑体" w:hAnsi="黑体" w:eastAsia="黑体"/>
          <w:sz w:val="28"/>
          <w:szCs w:val="28"/>
        </w:rPr>
        <w:t>、</w:t>
      </w:r>
      <w:r>
        <w:rPr>
          <w:rFonts w:hint="eastAsia" w:ascii="黑体" w:hAnsi="黑体" w:eastAsia="黑体"/>
          <w:sz w:val="28"/>
          <w:szCs w:val="28"/>
        </w:rPr>
        <w:t>项目名称：</w:t>
      </w:r>
      <w:r>
        <w:rPr>
          <w:rFonts w:hint="eastAsia" w:ascii="仿宋" w:hAnsi="仿宋" w:eastAsia="仿宋" w:cs="仿宋"/>
          <w:b w:val="0"/>
          <w:bCs w:val="0"/>
          <w:color w:val="000000"/>
          <w:sz w:val="28"/>
          <w:szCs w:val="28"/>
          <w:highlight w:val="none"/>
          <w:u w:val="none"/>
          <w:lang w:eastAsia="zh-CN"/>
        </w:rPr>
        <w:t>丰台区看丹街道2026年拆违控违工程服务项目</w:t>
      </w:r>
      <w:bookmarkStart w:id="2" w:name="OLE_LINK1"/>
      <w:r>
        <w:rPr>
          <w:rFonts w:hint="eastAsia" w:ascii="仿宋" w:hAnsi="仿宋" w:eastAsia="仿宋" w:cs="仿宋"/>
          <w:b w:val="0"/>
          <w:bCs w:val="0"/>
          <w:color w:val="000000"/>
          <w:sz w:val="28"/>
          <w:szCs w:val="28"/>
          <w:highlight w:val="none"/>
          <w:u w:val="none"/>
          <w:lang w:eastAsia="zh-CN"/>
        </w:rPr>
        <w:t>（</w:t>
      </w:r>
      <w:r>
        <w:rPr>
          <w:rFonts w:hint="eastAsia" w:ascii="仿宋" w:hAnsi="仿宋" w:eastAsia="仿宋" w:cs="仿宋"/>
          <w:b w:val="0"/>
          <w:bCs w:val="0"/>
          <w:color w:val="000000"/>
          <w:sz w:val="28"/>
          <w:szCs w:val="28"/>
          <w:highlight w:val="none"/>
          <w:u w:val="none"/>
          <w:lang w:val="en-US" w:eastAsia="zh-CN"/>
        </w:rPr>
        <w:t>一次重新招标</w:t>
      </w:r>
      <w:r>
        <w:rPr>
          <w:rFonts w:hint="eastAsia" w:ascii="仿宋" w:hAnsi="仿宋" w:eastAsia="仿宋" w:cs="仿宋"/>
          <w:b w:val="0"/>
          <w:bCs w:val="0"/>
          <w:color w:val="000000"/>
          <w:sz w:val="28"/>
          <w:szCs w:val="28"/>
          <w:highlight w:val="none"/>
          <w:u w:val="none"/>
          <w:lang w:eastAsia="zh-CN"/>
        </w:rPr>
        <w:t>）</w:t>
      </w:r>
    </w:p>
    <w:bookmarkEnd w:id="2"/>
    <w:p>
      <w:pPr>
        <w:rPr>
          <w:rFonts w:ascii="黑体" w:hAnsi="黑体" w:eastAsia="黑体"/>
          <w:sz w:val="28"/>
          <w:szCs w:val="28"/>
        </w:rPr>
      </w:pPr>
      <w:r>
        <w:rPr>
          <w:rFonts w:hint="eastAsia" w:ascii="黑体" w:hAnsi="黑体" w:eastAsia="黑体"/>
          <w:sz w:val="28"/>
          <w:szCs w:val="28"/>
        </w:rPr>
        <w:t>三、</w:t>
      </w:r>
      <w:r>
        <w:rPr>
          <w:rFonts w:hint="eastAsia" w:ascii="黑体" w:hAnsi="黑体" w:eastAsia="黑体"/>
          <w:sz w:val="28"/>
          <w:szCs w:val="28"/>
          <w:lang w:val="en-US" w:eastAsia="zh-CN"/>
        </w:rPr>
        <w:t>01包</w:t>
      </w:r>
      <w:r>
        <w:rPr>
          <w:rFonts w:hint="eastAsia" w:ascii="黑体" w:hAnsi="黑体" w:eastAsia="黑体"/>
          <w:sz w:val="28"/>
          <w:szCs w:val="28"/>
        </w:rPr>
        <w:t>中标（成交）信息</w:t>
      </w:r>
    </w:p>
    <w:p>
      <w:pPr>
        <w:ind w:firstLine="560" w:firstLineChars="200"/>
        <w:rPr>
          <w:rFonts w:hint="default" w:ascii="仿宋" w:hAnsi="仿宋" w:eastAsia="仿宋"/>
          <w:sz w:val="28"/>
          <w:szCs w:val="28"/>
          <w:lang w:val="en-US" w:eastAsia="zh-CN"/>
        </w:rPr>
      </w:pPr>
      <w:r>
        <w:rPr>
          <w:rFonts w:hint="eastAsia" w:ascii="仿宋" w:hAnsi="仿宋" w:eastAsia="仿宋"/>
          <w:sz w:val="28"/>
          <w:szCs w:val="28"/>
        </w:rPr>
        <w:t>供应商名称：</w:t>
      </w:r>
      <w:r>
        <w:rPr>
          <w:rFonts w:hint="eastAsia" w:ascii="仿宋" w:hAnsi="仿宋" w:eastAsia="仿宋"/>
          <w:sz w:val="28"/>
          <w:szCs w:val="28"/>
          <w:lang w:val="en-US" w:eastAsia="zh-CN"/>
        </w:rPr>
        <w:t>北京金瑞建安建筑工程有限公司</w:t>
      </w:r>
    </w:p>
    <w:p>
      <w:pPr>
        <w:ind w:firstLine="560" w:firstLineChars="200"/>
        <w:rPr>
          <w:rFonts w:hint="default" w:ascii="仿宋" w:hAnsi="仿宋" w:eastAsia="仿宋"/>
          <w:sz w:val="28"/>
          <w:szCs w:val="28"/>
          <w:lang w:val="en-US" w:eastAsia="zh-CN"/>
        </w:rPr>
      </w:pPr>
      <w:r>
        <w:rPr>
          <w:rFonts w:hint="eastAsia" w:ascii="仿宋" w:hAnsi="仿宋" w:eastAsia="仿宋"/>
          <w:sz w:val="28"/>
          <w:szCs w:val="28"/>
        </w:rPr>
        <w:t>供应商地址：</w:t>
      </w:r>
      <w:r>
        <w:rPr>
          <w:rFonts w:hint="eastAsia" w:ascii="仿宋" w:hAnsi="仿宋" w:eastAsia="仿宋"/>
          <w:sz w:val="28"/>
          <w:szCs w:val="28"/>
          <w:lang w:val="en-US" w:eastAsia="zh-CN"/>
        </w:rPr>
        <w:t>北京市丰台区海鹰路6号院9号楼3层3185</w:t>
      </w:r>
    </w:p>
    <w:p>
      <w:pPr>
        <w:ind w:firstLine="560" w:firstLineChars="200"/>
        <w:rPr>
          <w:rFonts w:hint="default" w:ascii="仿宋" w:hAnsi="仿宋" w:eastAsia="仿宋"/>
          <w:sz w:val="28"/>
          <w:szCs w:val="28"/>
          <w:lang w:val="en-US" w:eastAsia="zh-CN"/>
        </w:rPr>
      </w:pPr>
      <w:r>
        <w:rPr>
          <w:rFonts w:hint="eastAsia" w:ascii="仿宋" w:hAnsi="仿宋" w:eastAsia="仿宋"/>
          <w:sz w:val="28"/>
          <w:szCs w:val="28"/>
        </w:rPr>
        <w:t>中标（成交）金额：</w:t>
      </w:r>
      <w:r>
        <w:rPr>
          <w:rFonts w:hint="eastAsia" w:ascii="仿宋" w:hAnsi="仿宋" w:eastAsia="仿宋"/>
          <w:sz w:val="28"/>
          <w:szCs w:val="28"/>
          <w:u w:val="single"/>
          <w:lang w:val="en-US" w:eastAsia="zh-CN"/>
        </w:rPr>
        <w:t>295元/平米</w:t>
      </w:r>
    </w:p>
    <w:p>
      <w:pPr>
        <w:rPr>
          <w:rFonts w:ascii="黑体" w:hAnsi="黑体" w:eastAsia="黑体"/>
          <w:sz w:val="28"/>
          <w:szCs w:val="28"/>
        </w:rPr>
      </w:pPr>
      <w:r>
        <w:rPr>
          <w:rFonts w:hint="eastAsia" w:ascii="黑体" w:hAnsi="黑体" w:eastAsia="黑体"/>
          <w:sz w:val="28"/>
          <w:szCs w:val="28"/>
        </w:rPr>
        <w:t>四、</w:t>
      </w:r>
      <w:r>
        <w:rPr>
          <w:rFonts w:hint="eastAsia" w:ascii="黑体" w:hAnsi="黑体" w:eastAsia="黑体"/>
          <w:sz w:val="28"/>
          <w:szCs w:val="28"/>
          <w:lang w:val="en-US" w:eastAsia="zh-CN"/>
        </w:rPr>
        <w:t>01包</w:t>
      </w:r>
      <w:r>
        <w:rPr>
          <w:rFonts w:hint="eastAsia" w:ascii="黑体" w:hAnsi="黑体" w:eastAsia="黑体"/>
          <w:sz w:val="28"/>
          <w:szCs w:val="28"/>
        </w:rPr>
        <w:t>主要标的信息</w:t>
      </w:r>
    </w:p>
    <w:tbl>
      <w:tblPr>
        <w:tblStyle w:val="17"/>
        <w:tblW w:w="860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1" w:type="dxa"/>
          </w:tcPr>
          <w:p>
            <w:pPr>
              <w:jc w:val="center"/>
              <w:rPr>
                <w:rFonts w:ascii="仿宋" w:hAnsi="仿宋" w:eastAsia="仿宋"/>
                <w:kern w:val="0"/>
                <w:sz w:val="28"/>
                <w:szCs w:val="28"/>
              </w:rPr>
            </w:pPr>
            <w:r>
              <w:rPr>
                <w:rFonts w:hint="eastAsia" w:ascii="仿宋" w:hAnsi="仿宋" w:eastAsia="仿宋"/>
                <w:kern w:val="0"/>
                <w:sz w:val="28"/>
                <w:szCs w:val="28"/>
              </w:rPr>
              <w:t>服务类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1" w:type="dxa"/>
          </w:tcPr>
          <w:p>
            <w:pPr>
              <w:rPr>
                <w:rFonts w:hint="eastAsia" w:ascii="仿宋" w:hAnsi="仿宋" w:eastAsia="仿宋" w:cs="仿宋"/>
                <w:kern w:val="0"/>
                <w:sz w:val="28"/>
                <w:szCs w:val="28"/>
              </w:rPr>
            </w:pPr>
            <w:r>
              <w:rPr>
                <w:rFonts w:hint="eastAsia" w:ascii="仿宋" w:hAnsi="仿宋" w:eastAsia="仿宋" w:cs="仿宋"/>
                <w:kern w:val="0"/>
                <w:sz w:val="28"/>
                <w:szCs w:val="28"/>
              </w:rPr>
              <w:t>名称：</w:t>
            </w:r>
            <w:r>
              <w:rPr>
                <w:rFonts w:hint="eastAsia" w:ascii="仿宋" w:hAnsi="仿宋" w:eastAsia="仿宋" w:cs="仿宋"/>
                <w:b w:val="0"/>
                <w:bCs w:val="0"/>
                <w:color w:val="000000"/>
                <w:sz w:val="28"/>
                <w:szCs w:val="28"/>
                <w:highlight w:val="none"/>
                <w:u w:val="none"/>
                <w:lang w:eastAsia="zh-CN"/>
              </w:rPr>
              <w:t>丰台区看丹街道2026年拆违控违工程服务项目（</w:t>
            </w:r>
            <w:r>
              <w:rPr>
                <w:rFonts w:hint="eastAsia" w:ascii="仿宋" w:hAnsi="仿宋" w:eastAsia="仿宋" w:cs="仿宋"/>
                <w:b w:val="0"/>
                <w:bCs w:val="0"/>
                <w:color w:val="000000"/>
                <w:sz w:val="28"/>
                <w:szCs w:val="28"/>
                <w:highlight w:val="none"/>
                <w:u w:val="none"/>
                <w:lang w:val="en-US" w:eastAsia="zh-CN"/>
              </w:rPr>
              <w:t>一次重新招标</w:t>
            </w:r>
            <w:r>
              <w:rPr>
                <w:rFonts w:hint="eastAsia" w:ascii="仿宋" w:hAnsi="仿宋" w:eastAsia="仿宋" w:cs="仿宋"/>
                <w:b w:val="0"/>
                <w:bCs w:val="0"/>
                <w:color w:val="000000"/>
                <w:sz w:val="28"/>
                <w:szCs w:val="28"/>
                <w:highlight w:val="none"/>
                <w:u w:val="none"/>
                <w:lang w:eastAsia="zh-CN"/>
              </w:rPr>
              <w:t>）</w:t>
            </w:r>
          </w:p>
          <w:p>
            <w:pPr>
              <w:rPr>
                <w:rFonts w:hint="eastAsia" w:ascii="仿宋" w:hAnsi="仿宋" w:eastAsia="仿宋" w:cs="仿宋"/>
                <w:kern w:val="0"/>
                <w:sz w:val="28"/>
                <w:szCs w:val="28"/>
                <w:lang w:val="en-US" w:eastAsia="zh-CN"/>
              </w:rPr>
            </w:pPr>
            <w:r>
              <w:rPr>
                <w:rFonts w:hint="eastAsia" w:ascii="仿宋" w:hAnsi="仿宋" w:eastAsia="仿宋" w:cs="仿宋"/>
                <w:kern w:val="0"/>
                <w:sz w:val="28"/>
                <w:szCs w:val="28"/>
              </w:rPr>
              <w:t>服务范围：</w:t>
            </w:r>
            <w:r>
              <w:rPr>
                <w:rFonts w:hint="eastAsia" w:ascii="仿宋" w:hAnsi="仿宋" w:eastAsia="仿宋" w:cs="仿宋"/>
                <w:kern w:val="0"/>
                <w:sz w:val="28"/>
                <w:szCs w:val="28"/>
                <w:lang w:val="en-US" w:eastAsia="zh-CN"/>
              </w:rPr>
              <w:t>按照销帐面积拆除违法建设（包含大棚和房屋）</w:t>
            </w:r>
          </w:p>
          <w:p>
            <w:pPr>
              <w:rPr>
                <w:rFonts w:hint="eastAsia" w:ascii="仿宋" w:hAnsi="仿宋" w:eastAsia="仿宋" w:cs="仿宋"/>
                <w:color w:val="000000"/>
                <w:kern w:val="0"/>
                <w:sz w:val="28"/>
                <w:szCs w:val="28"/>
                <w:lang w:val="en-US" w:eastAsia="zh-CN" w:bidi="ar"/>
              </w:rPr>
            </w:pPr>
            <w:r>
              <w:rPr>
                <w:rFonts w:hint="eastAsia" w:ascii="仿宋" w:hAnsi="仿宋" w:eastAsia="仿宋" w:cs="仿宋"/>
                <w:kern w:val="0"/>
                <w:sz w:val="28"/>
                <w:szCs w:val="28"/>
              </w:rPr>
              <w:t>服务要求：</w:t>
            </w:r>
            <w:r>
              <w:rPr>
                <w:rFonts w:hint="eastAsia" w:ascii="仿宋" w:hAnsi="仿宋" w:eastAsia="仿宋" w:cs="仿宋"/>
                <w:color w:val="000000"/>
                <w:kern w:val="0"/>
                <w:sz w:val="28"/>
                <w:szCs w:val="28"/>
                <w:lang w:val="en-US" w:eastAsia="zh-CN" w:bidi="ar"/>
              </w:rPr>
              <w:t>拆除过程中严格落实洒水降尘措施，拆除完毕后及时清运建筑垃圾，完成销账处理，加强对拆违后土地监管</w:t>
            </w:r>
          </w:p>
          <w:p>
            <w:pPr>
              <w:rPr>
                <w:rFonts w:hint="eastAsia" w:ascii="仿宋" w:hAnsi="仿宋" w:eastAsia="仿宋" w:cs="仿宋"/>
                <w:kern w:val="0"/>
                <w:sz w:val="28"/>
                <w:szCs w:val="28"/>
                <w:u w:val="single"/>
              </w:rPr>
            </w:pPr>
            <w:r>
              <w:rPr>
                <w:rFonts w:hint="eastAsia" w:ascii="仿宋" w:hAnsi="仿宋" w:eastAsia="仿宋" w:cs="仿宋"/>
                <w:kern w:val="0"/>
                <w:sz w:val="28"/>
                <w:szCs w:val="28"/>
              </w:rPr>
              <w:t>服务时间：</w:t>
            </w:r>
            <w:r>
              <w:rPr>
                <w:rFonts w:hint="eastAsia" w:ascii="仿宋" w:hAnsi="仿宋" w:eastAsia="仿宋" w:cs="仿宋"/>
                <w:color w:val="000000"/>
                <w:sz w:val="28"/>
                <w:szCs w:val="28"/>
                <w:highlight w:val="none"/>
                <w:lang w:val="en-US" w:eastAsia="zh-CN"/>
              </w:rPr>
              <w:t>自合同签订之日起至2027年1月31日</w:t>
            </w:r>
          </w:p>
          <w:p>
            <w:pPr>
              <w:rPr>
                <w:rFonts w:ascii="仿宋" w:hAnsi="仿宋" w:eastAsia="仿宋"/>
                <w:kern w:val="0"/>
                <w:sz w:val="28"/>
                <w:szCs w:val="28"/>
              </w:rPr>
            </w:pPr>
            <w:r>
              <w:rPr>
                <w:rFonts w:hint="eastAsia" w:ascii="仿宋" w:hAnsi="仿宋" w:eastAsia="仿宋" w:cs="仿宋"/>
                <w:kern w:val="0"/>
                <w:sz w:val="28"/>
                <w:szCs w:val="28"/>
              </w:rPr>
              <w:t>服务标准：</w:t>
            </w:r>
            <w:r>
              <w:rPr>
                <w:rFonts w:hint="eastAsia" w:ascii="仿宋" w:hAnsi="仿宋" w:eastAsia="仿宋" w:cs="仿宋"/>
                <w:color w:val="000000"/>
                <w:sz w:val="28"/>
                <w:szCs w:val="28"/>
                <w:u w:val="none"/>
                <w:lang w:val="en-US" w:eastAsia="zh-CN"/>
              </w:rPr>
              <w:t>拆除私搭乱建违法建设物，</w:t>
            </w:r>
            <w:r>
              <w:rPr>
                <w:rFonts w:hint="eastAsia" w:ascii="仿宋" w:hAnsi="仿宋" w:eastAsia="仿宋" w:cs="仿宋"/>
                <w:color w:val="000000"/>
                <w:sz w:val="28"/>
                <w:szCs w:val="28"/>
                <w:u w:val="none"/>
              </w:rPr>
              <w:t>消除辖区范围内安全隐患</w:t>
            </w:r>
            <w:r>
              <w:rPr>
                <w:rFonts w:hint="eastAsia" w:ascii="仿宋" w:hAnsi="仿宋" w:eastAsia="仿宋" w:cs="仿宋"/>
                <w:color w:val="000000"/>
                <w:sz w:val="28"/>
                <w:szCs w:val="28"/>
                <w:u w:val="none"/>
                <w:lang w:eastAsia="zh-CN"/>
              </w:rPr>
              <w:t>，</w:t>
            </w:r>
            <w:r>
              <w:rPr>
                <w:rFonts w:hint="eastAsia" w:ascii="仿宋" w:hAnsi="仿宋" w:eastAsia="仿宋" w:cs="仿宋"/>
                <w:b w:val="0"/>
                <w:bCs w:val="0"/>
                <w:color w:val="000000"/>
                <w:sz w:val="28"/>
                <w:szCs w:val="28"/>
                <w:highlight w:val="none"/>
                <w:u w:val="none"/>
              </w:rPr>
              <w:t>妥善处理建筑垃圾，保障周边环境整洁，</w:t>
            </w:r>
            <w:r>
              <w:rPr>
                <w:rFonts w:hint="eastAsia" w:ascii="仿宋" w:hAnsi="仿宋" w:eastAsia="仿宋" w:cs="仿宋"/>
                <w:b w:val="0"/>
                <w:bCs w:val="0"/>
                <w:color w:val="000000"/>
                <w:sz w:val="28"/>
                <w:szCs w:val="28"/>
                <w:highlight w:val="none"/>
                <w:u w:val="none"/>
                <w:lang w:val="en-US" w:eastAsia="zh-CN"/>
              </w:rPr>
              <w:t>杜绝扬尘，</w:t>
            </w:r>
            <w:r>
              <w:rPr>
                <w:rFonts w:hint="eastAsia" w:ascii="仿宋" w:hAnsi="仿宋" w:eastAsia="仿宋" w:cs="仿宋"/>
                <w:b w:val="0"/>
                <w:bCs w:val="0"/>
                <w:color w:val="000000"/>
                <w:sz w:val="28"/>
                <w:szCs w:val="28"/>
                <w:highlight w:val="none"/>
                <w:u w:val="none"/>
              </w:rPr>
              <w:t>助力提升街道整体市容市貌，营造安全、有序、整洁的</w:t>
            </w:r>
            <w:r>
              <w:rPr>
                <w:rFonts w:hint="eastAsia" w:ascii="仿宋" w:hAnsi="仿宋" w:eastAsia="仿宋" w:cs="仿宋"/>
                <w:b w:val="0"/>
                <w:bCs w:val="0"/>
                <w:color w:val="000000"/>
                <w:sz w:val="28"/>
                <w:szCs w:val="28"/>
                <w:highlight w:val="none"/>
                <w:u w:val="none"/>
                <w:lang w:val="en-US" w:eastAsia="zh-CN"/>
              </w:rPr>
              <w:t>环境；要求</w:t>
            </w:r>
            <w:r>
              <w:rPr>
                <w:rFonts w:hint="eastAsia" w:ascii="仿宋" w:hAnsi="仿宋" w:eastAsia="仿宋" w:cs="仿宋"/>
                <w:b w:val="0"/>
                <w:bCs w:val="0"/>
                <w:color w:val="000000"/>
                <w:sz w:val="28"/>
                <w:szCs w:val="28"/>
                <w:u w:val="none"/>
              </w:rPr>
              <w:t>场光地净，</w:t>
            </w:r>
            <w:r>
              <w:rPr>
                <w:rFonts w:hint="eastAsia" w:ascii="仿宋" w:hAnsi="仿宋" w:eastAsia="仿宋" w:cs="仿宋"/>
                <w:b w:val="0"/>
                <w:bCs w:val="0"/>
                <w:color w:val="000000"/>
                <w:sz w:val="28"/>
                <w:szCs w:val="28"/>
                <w:u w:val="none"/>
                <w:lang w:val="en-US" w:eastAsia="zh-CN"/>
              </w:rPr>
              <w:t>苫盖整齐，</w:t>
            </w:r>
            <w:r>
              <w:rPr>
                <w:rFonts w:hint="eastAsia" w:ascii="仿宋" w:hAnsi="仿宋" w:eastAsia="仿宋" w:cs="仿宋"/>
                <w:b w:val="0"/>
                <w:bCs w:val="0"/>
                <w:color w:val="000000"/>
                <w:sz w:val="28"/>
                <w:szCs w:val="28"/>
                <w:u w:val="none"/>
              </w:rPr>
              <w:t>地面平整，没有渣土和垃圾</w:t>
            </w:r>
            <w:r>
              <w:rPr>
                <w:rFonts w:hint="eastAsia" w:ascii="仿宋" w:hAnsi="仿宋" w:eastAsia="仿宋" w:cs="仿宋"/>
                <w:color w:val="000000"/>
                <w:sz w:val="28"/>
                <w:szCs w:val="28"/>
              </w:rPr>
              <w:t>。</w:t>
            </w:r>
          </w:p>
        </w:tc>
      </w:tr>
    </w:tbl>
    <w:p>
      <w:pPr>
        <w:rPr>
          <w:rFonts w:hint="default" w:ascii="黑体" w:hAnsi="黑体" w:eastAsia="黑体"/>
          <w:sz w:val="28"/>
          <w:szCs w:val="28"/>
          <w:lang w:val="en-US" w:eastAsia="zh-CN"/>
        </w:rPr>
      </w:pPr>
      <w:r>
        <w:rPr>
          <w:rFonts w:hint="eastAsia" w:ascii="黑体" w:hAnsi="黑体" w:eastAsia="黑体"/>
          <w:sz w:val="28"/>
          <w:szCs w:val="28"/>
        </w:rPr>
        <w:t>五、评审专家（单一来源采购人员）名单：</w:t>
      </w:r>
      <w:r>
        <w:rPr>
          <w:rFonts w:hint="eastAsia" w:ascii="黑体" w:hAnsi="黑体" w:eastAsia="黑体"/>
          <w:sz w:val="28"/>
          <w:szCs w:val="28"/>
          <w:lang w:val="en-US" w:eastAsia="zh-CN"/>
        </w:rPr>
        <w:t>皮佳亮、张再华、王永、乔素敏、陆雨</w:t>
      </w:r>
    </w:p>
    <w:p>
      <w:pPr>
        <w:rPr>
          <w:rFonts w:hint="default" w:ascii="黑体" w:hAnsi="黑体" w:eastAsia="黑体"/>
          <w:sz w:val="28"/>
          <w:szCs w:val="28"/>
          <w:lang w:val="en-US" w:eastAsia="zh-CN"/>
        </w:rPr>
      </w:pPr>
      <w:r>
        <w:rPr>
          <w:rFonts w:hint="eastAsia" w:ascii="黑体" w:hAnsi="黑体" w:eastAsia="黑体"/>
          <w:sz w:val="28"/>
          <w:szCs w:val="28"/>
        </w:rPr>
        <w:t>六、代理服务收费标准及金额：</w:t>
      </w:r>
      <w:r>
        <w:rPr>
          <w:rFonts w:hint="eastAsia" w:ascii="仿宋" w:hAnsi="仿宋" w:eastAsia="仿宋"/>
          <w:sz w:val="28"/>
          <w:szCs w:val="28"/>
        </w:rPr>
        <w:t>参考</w:t>
      </w:r>
      <w:r>
        <w:rPr>
          <w:rFonts w:ascii="仿宋" w:hAnsi="仿宋" w:eastAsia="仿宋"/>
          <w:sz w:val="28"/>
          <w:szCs w:val="28"/>
        </w:rPr>
        <w:t>《国家计委关于印发招标代理服务收费管理暂行办法的通知》（计价格〔2002〕1980号）、《国家发展改革委办公厅关于招标代理服务收费有关问题的通知》（发改办价格〔2003〕857号）规定的</w:t>
      </w:r>
      <w:r>
        <w:rPr>
          <w:rFonts w:hint="eastAsia" w:ascii="仿宋" w:hAnsi="仿宋" w:eastAsia="仿宋"/>
          <w:sz w:val="28"/>
          <w:szCs w:val="28"/>
        </w:rPr>
        <w:t>计算</w:t>
      </w:r>
      <w:r>
        <w:rPr>
          <w:rFonts w:hint="eastAsia" w:ascii="仿宋" w:hAnsi="仿宋" w:eastAsia="仿宋"/>
          <w:sz w:val="28"/>
          <w:szCs w:val="28"/>
          <w:lang w:val="en-US" w:eastAsia="zh-CN"/>
        </w:rPr>
        <w:t>收取</w:t>
      </w:r>
      <w:r>
        <w:rPr>
          <w:rFonts w:hint="eastAsia" w:ascii="仿宋" w:hAnsi="仿宋" w:eastAsia="仿宋" w:cs="仿宋"/>
          <w:sz w:val="28"/>
          <w:szCs w:val="28"/>
          <w:lang w:val="en-US" w:eastAsia="zh-CN"/>
        </w:rPr>
        <w:t>60000元。</w:t>
      </w:r>
    </w:p>
    <w:p>
      <w:pPr>
        <w:rPr>
          <w:rFonts w:ascii="黑体" w:hAnsi="黑体" w:eastAsia="黑体"/>
          <w:sz w:val="28"/>
          <w:szCs w:val="28"/>
        </w:rPr>
      </w:pPr>
      <w:r>
        <w:rPr>
          <w:rFonts w:hint="eastAsia" w:ascii="黑体" w:hAnsi="黑体" w:eastAsia="黑体"/>
          <w:sz w:val="28"/>
          <w:szCs w:val="28"/>
        </w:rPr>
        <w:t>七、公告期限</w:t>
      </w:r>
    </w:p>
    <w:p>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自本公告发布之日起</w:t>
      </w:r>
      <w:r>
        <w:rPr>
          <w:rFonts w:ascii="仿宋" w:hAnsi="仿宋" w:eastAsia="仿宋" w:cs="宋体"/>
          <w:kern w:val="0"/>
          <w:sz w:val="28"/>
          <w:szCs w:val="28"/>
        </w:rPr>
        <w:t>1</w:t>
      </w:r>
      <w:r>
        <w:rPr>
          <w:rFonts w:hint="eastAsia" w:ascii="仿宋" w:hAnsi="仿宋" w:eastAsia="仿宋" w:cs="宋体"/>
          <w:kern w:val="0"/>
          <w:sz w:val="28"/>
          <w:szCs w:val="28"/>
        </w:rPr>
        <w:t>个工作日。</w:t>
      </w:r>
    </w:p>
    <w:p>
      <w:pPr>
        <w:rPr>
          <w:rFonts w:ascii="黑体" w:hAnsi="黑体" w:eastAsia="黑体" w:cs="仿宋"/>
          <w:sz w:val="28"/>
          <w:szCs w:val="28"/>
        </w:rPr>
      </w:pPr>
      <w:r>
        <w:rPr>
          <w:rFonts w:hint="eastAsia" w:ascii="黑体" w:hAnsi="黑体" w:eastAsia="黑体" w:cs="仿宋"/>
          <w:sz w:val="28"/>
          <w:szCs w:val="28"/>
        </w:rPr>
        <w:t>八、其他补充事宜</w:t>
      </w:r>
    </w:p>
    <w:p>
      <w:pPr>
        <w:ind w:firstLine="560" w:firstLineChars="200"/>
        <w:rPr>
          <w:rFonts w:hint="eastAsia" w:ascii="仿宋" w:hAnsi="仿宋" w:eastAsia="仿宋" w:cs="仿宋"/>
          <w:kern w:val="0"/>
          <w:sz w:val="28"/>
          <w:szCs w:val="28"/>
          <w:lang w:val="en-US" w:eastAsia="zh-CN"/>
        </w:rPr>
      </w:pPr>
      <w:r>
        <w:rPr>
          <w:rFonts w:hint="eastAsia" w:ascii="仿宋" w:hAnsi="仿宋" w:eastAsia="仿宋" w:cs="仿宋"/>
          <w:kern w:val="0"/>
          <w:sz w:val="28"/>
          <w:szCs w:val="28"/>
          <w:lang w:val="en-US" w:eastAsia="zh-CN"/>
        </w:rPr>
        <w:t>无。</w:t>
      </w:r>
    </w:p>
    <w:p>
      <w:pPr>
        <w:rPr>
          <w:rFonts w:ascii="黑体" w:hAnsi="黑体" w:eastAsia="黑体" w:cs="宋体"/>
          <w:kern w:val="0"/>
          <w:sz w:val="28"/>
          <w:szCs w:val="28"/>
        </w:rPr>
      </w:pPr>
      <w:r>
        <w:rPr>
          <w:rFonts w:hint="eastAsia" w:ascii="黑体" w:hAnsi="黑体" w:eastAsia="黑体" w:cs="宋体"/>
          <w:kern w:val="0"/>
          <w:sz w:val="28"/>
          <w:szCs w:val="28"/>
        </w:rPr>
        <w:t>九、凡对本次公告内容提出询问，请按以下方式联系。</w:t>
      </w:r>
    </w:p>
    <w:p>
      <w:pPr>
        <w:pStyle w:val="3"/>
        <w:spacing w:line="360" w:lineRule="auto"/>
        <w:ind w:firstLine="700" w:firstLineChars="250"/>
        <w:rPr>
          <w:rFonts w:ascii="仿宋" w:hAnsi="仿宋" w:eastAsia="仿宋" w:cs="宋体"/>
          <w:b w:val="0"/>
          <w:sz w:val="28"/>
          <w:szCs w:val="28"/>
        </w:rPr>
      </w:pPr>
      <w:bookmarkStart w:id="3" w:name="_Toc28359023"/>
      <w:bookmarkStart w:id="4" w:name="_Toc35393810"/>
      <w:bookmarkStart w:id="5" w:name="_Toc28359100"/>
      <w:bookmarkStart w:id="6" w:name="_Toc35393641"/>
      <w:r>
        <w:rPr>
          <w:rFonts w:hint="eastAsia" w:ascii="仿宋" w:hAnsi="仿宋" w:eastAsia="仿宋" w:cs="宋体"/>
          <w:b w:val="0"/>
          <w:sz w:val="28"/>
          <w:szCs w:val="28"/>
        </w:rPr>
        <w:t>1.采购人信息</w:t>
      </w:r>
      <w:bookmarkEnd w:id="3"/>
      <w:bookmarkEnd w:id="4"/>
      <w:bookmarkEnd w:id="5"/>
      <w:bookmarkEnd w:id="6"/>
    </w:p>
    <w:p>
      <w:pPr>
        <w:spacing w:line="360" w:lineRule="auto"/>
        <w:ind w:left="1129" w:leftChars="371" w:hanging="350" w:hangingChars="125"/>
        <w:jc w:val="left"/>
        <w:rPr>
          <w:rFonts w:ascii="仿宋" w:hAnsi="仿宋" w:eastAsia="仿宋"/>
          <w:sz w:val="28"/>
          <w:szCs w:val="28"/>
        </w:rPr>
      </w:pPr>
      <w:r>
        <w:rPr>
          <w:rFonts w:hint="eastAsia" w:ascii="仿宋" w:hAnsi="仿宋" w:eastAsia="仿宋"/>
          <w:sz w:val="28"/>
          <w:szCs w:val="28"/>
        </w:rPr>
        <w:t>名    称：</w:t>
      </w:r>
      <w:r>
        <w:rPr>
          <w:rFonts w:hint="eastAsia" w:ascii="宋体" w:hAnsi="宋体" w:cs="宋体"/>
          <w:color w:val="000000"/>
          <w:sz w:val="24"/>
          <w:lang w:val="en-US" w:eastAsia="zh-CN"/>
        </w:rPr>
        <w:t>北京市丰台区人民政府看丹街道办事处</w:t>
      </w:r>
    </w:p>
    <w:p>
      <w:pPr>
        <w:spacing w:line="360" w:lineRule="auto"/>
        <w:ind w:left="1129" w:leftChars="371" w:hanging="350" w:hangingChars="125"/>
        <w:jc w:val="left"/>
        <w:rPr>
          <w:rFonts w:ascii="仿宋" w:hAnsi="仿宋" w:eastAsia="仿宋"/>
          <w:sz w:val="28"/>
          <w:szCs w:val="28"/>
        </w:rPr>
      </w:pPr>
      <w:r>
        <w:rPr>
          <w:rFonts w:hint="eastAsia" w:ascii="仿宋" w:hAnsi="仿宋" w:eastAsia="仿宋"/>
          <w:sz w:val="28"/>
          <w:szCs w:val="28"/>
        </w:rPr>
        <w:t>地    址：</w:t>
      </w:r>
      <w:r>
        <w:rPr>
          <w:rFonts w:hint="eastAsia" w:ascii="宋体" w:hAnsi="宋体" w:eastAsia="宋体" w:cs="宋体"/>
          <w:color w:val="000000"/>
          <w:sz w:val="24"/>
          <w:szCs w:val="24"/>
          <w:u w:val="none" w:color="auto"/>
        </w:rPr>
        <w:t>北京市丰台区外环西路8号</w:t>
      </w:r>
    </w:p>
    <w:p>
      <w:pPr>
        <w:spacing w:line="360" w:lineRule="auto"/>
        <w:ind w:left="1129" w:leftChars="371" w:hanging="350" w:hangingChars="125"/>
        <w:jc w:val="left"/>
        <w:rPr>
          <w:rFonts w:ascii="仿宋" w:hAnsi="仿宋" w:eastAsia="仿宋"/>
          <w:sz w:val="28"/>
          <w:szCs w:val="28"/>
        </w:rPr>
      </w:pPr>
      <w:r>
        <w:rPr>
          <w:rFonts w:hint="eastAsia" w:ascii="仿宋" w:hAnsi="仿宋" w:eastAsia="仿宋"/>
          <w:sz w:val="28"/>
          <w:szCs w:val="28"/>
        </w:rPr>
        <w:t>联系方式：</w:t>
      </w:r>
      <w:r>
        <w:rPr>
          <w:rFonts w:hint="eastAsia" w:cs="宋体"/>
          <w:color w:val="000000"/>
          <w:sz w:val="24"/>
          <w:szCs w:val="24"/>
          <w:highlight w:val="none"/>
          <w:u w:val="none" w:color="auto"/>
          <w:lang w:val="en-US" w:eastAsia="zh-CN"/>
        </w:rPr>
        <w:t>010</w:t>
      </w:r>
      <w:r>
        <w:rPr>
          <w:rFonts w:hint="eastAsia" w:ascii="宋体" w:hAnsi="宋体" w:eastAsia="宋体" w:cs="宋体"/>
          <w:color w:val="000000"/>
          <w:sz w:val="24"/>
          <w:szCs w:val="24"/>
          <w:highlight w:val="none"/>
          <w:u w:val="none" w:color="auto"/>
          <w:lang w:val="en-US" w:eastAsia="zh-CN"/>
        </w:rPr>
        <w:t>6372</w:t>
      </w:r>
      <w:r>
        <w:rPr>
          <w:rFonts w:hint="eastAsia" w:cs="宋体"/>
          <w:color w:val="000000"/>
          <w:sz w:val="24"/>
          <w:szCs w:val="24"/>
          <w:highlight w:val="none"/>
          <w:u w:val="none" w:color="auto"/>
          <w:lang w:val="en-US" w:eastAsia="zh-CN"/>
        </w:rPr>
        <w:t>7925</w:t>
      </w:r>
    </w:p>
    <w:p>
      <w:pPr>
        <w:pStyle w:val="3"/>
        <w:spacing w:line="360" w:lineRule="auto"/>
        <w:ind w:firstLine="840" w:firstLineChars="300"/>
        <w:rPr>
          <w:rFonts w:ascii="仿宋" w:hAnsi="仿宋" w:eastAsia="仿宋" w:cs="宋体"/>
          <w:b w:val="0"/>
          <w:sz w:val="28"/>
          <w:szCs w:val="28"/>
        </w:rPr>
      </w:pPr>
      <w:bookmarkStart w:id="7" w:name="_Toc35393811"/>
      <w:bookmarkStart w:id="8" w:name="_Toc28359024"/>
      <w:bookmarkStart w:id="9" w:name="_Toc35393642"/>
      <w:bookmarkStart w:id="10" w:name="_Toc28359101"/>
      <w:r>
        <w:rPr>
          <w:rFonts w:hint="eastAsia" w:ascii="仿宋" w:hAnsi="仿宋" w:eastAsia="仿宋" w:cs="宋体"/>
          <w:b w:val="0"/>
          <w:sz w:val="28"/>
          <w:szCs w:val="28"/>
        </w:rPr>
        <w:t>2.采购代理机构信息（如有）</w:t>
      </w:r>
      <w:bookmarkEnd w:id="7"/>
      <w:bookmarkEnd w:id="8"/>
      <w:bookmarkEnd w:id="9"/>
      <w:bookmarkEnd w:id="10"/>
    </w:p>
    <w:p>
      <w:pPr>
        <w:spacing w:line="360" w:lineRule="auto"/>
        <w:ind w:firstLine="840" w:firstLineChars="300"/>
        <w:rPr>
          <w:rFonts w:ascii="仿宋" w:hAnsi="仿宋" w:eastAsia="仿宋"/>
          <w:sz w:val="28"/>
          <w:szCs w:val="28"/>
          <w:u w:val="single"/>
        </w:rPr>
      </w:pPr>
      <w:r>
        <w:rPr>
          <w:rFonts w:hint="eastAsia" w:ascii="仿宋" w:hAnsi="仿宋" w:eastAsia="仿宋"/>
          <w:sz w:val="28"/>
          <w:szCs w:val="28"/>
        </w:rPr>
        <w:t>名    称：</w:t>
      </w:r>
      <w:r>
        <w:rPr>
          <w:rFonts w:hint="eastAsia" w:ascii="宋体" w:hAnsi="宋体" w:eastAsia="宋体" w:cs="宋体"/>
          <w:sz w:val="24"/>
          <w:u w:val="none"/>
        </w:rPr>
        <w:t>中和德汇工程技术有限公司</w:t>
      </w:r>
    </w:p>
    <w:p>
      <w:pPr>
        <w:spacing w:line="360" w:lineRule="auto"/>
        <w:ind w:firstLine="840" w:firstLineChars="300"/>
        <w:rPr>
          <w:rFonts w:ascii="仿宋" w:hAnsi="仿宋" w:eastAsia="仿宋"/>
          <w:sz w:val="28"/>
          <w:szCs w:val="28"/>
        </w:rPr>
      </w:pPr>
      <w:r>
        <w:rPr>
          <w:rFonts w:hint="eastAsia" w:ascii="仿宋" w:hAnsi="仿宋" w:eastAsia="仿宋"/>
          <w:sz w:val="28"/>
          <w:szCs w:val="28"/>
        </w:rPr>
        <w:t>地　  址：</w:t>
      </w:r>
      <w:r>
        <w:rPr>
          <w:rFonts w:hint="eastAsia" w:ascii="宋体" w:hAnsi="宋体" w:eastAsia="宋体" w:cs="宋体"/>
          <w:color w:val="000000"/>
          <w:sz w:val="24"/>
          <w:szCs w:val="22"/>
          <w:u w:val="none"/>
          <w:lang w:val="en-GB" w:eastAsia="zh-CN" w:bidi="ar-SA"/>
        </w:rPr>
        <w:t>北京市丰台区汽车博物馆东路6号院4号楼7层3单元702</w:t>
      </w:r>
    </w:p>
    <w:p>
      <w:pPr>
        <w:spacing w:line="360" w:lineRule="auto"/>
        <w:ind w:firstLine="840" w:firstLineChars="300"/>
        <w:rPr>
          <w:rFonts w:hint="default" w:ascii="仿宋" w:hAnsi="仿宋" w:eastAsia="仿宋"/>
          <w:sz w:val="28"/>
          <w:szCs w:val="28"/>
          <w:u w:val="single"/>
          <w:lang w:val="en-US"/>
        </w:rPr>
      </w:pPr>
      <w:r>
        <w:rPr>
          <w:rFonts w:hint="eastAsia" w:ascii="仿宋" w:hAnsi="仿宋" w:eastAsia="仿宋"/>
          <w:sz w:val="28"/>
          <w:szCs w:val="28"/>
        </w:rPr>
        <w:t>联系方式：</w:t>
      </w:r>
      <w:r>
        <w:rPr>
          <w:rFonts w:hint="eastAsia" w:ascii="宋体" w:hAnsi="宋体" w:cs="宋体"/>
          <w:color w:val="auto"/>
          <w:sz w:val="24"/>
          <w:szCs w:val="24"/>
          <w:highlight w:val="none"/>
          <w:u w:val="none"/>
          <w:lang w:val="en-US" w:eastAsia="zh-CN"/>
        </w:rPr>
        <w:t>15210199139</w:t>
      </w:r>
      <w:bookmarkStart w:id="15" w:name="_GoBack"/>
      <w:bookmarkEnd w:id="15"/>
    </w:p>
    <w:p>
      <w:pPr>
        <w:pStyle w:val="3"/>
        <w:spacing w:line="360" w:lineRule="auto"/>
        <w:ind w:firstLine="840" w:firstLineChars="300"/>
        <w:rPr>
          <w:rFonts w:ascii="仿宋" w:hAnsi="仿宋" w:eastAsia="仿宋" w:cs="宋体"/>
          <w:b w:val="0"/>
          <w:sz w:val="28"/>
          <w:szCs w:val="28"/>
        </w:rPr>
      </w:pPr>
      <w:bookmarkStart w:id="11" w:name="_Toc35393812"/>
      <w:bookmarkStart w:id="12" w:name="_Toc28359025"/>
      <w:bookmarkStart w:id="13" w:name="_Toc35393643"/>
      <w:bookmarkStart w:id="14" w:name="_Toc28359102"/>
      <w:r>
        <w:rPr>
          <w:rFonts w:hint="eastAsia" w:ascii="仿宋" w:hAnsi="仿宋" w:eastAsia="仿宋" w:cs="宋体"/>
          <w:b w:val="0"/>
          <w:sz w:val="28"/>
          <w:szCs w:val="28"/>
        </w:rPr>
        <w:t>3.项目</w:t>
      </w:r>
      <w:r>
        <w:rPr>
          <w:rFonts w:ascii="仿宋" w:hAnsi="仿宋" w:eastAsia="仿宋" w:cs="宋体"/>
          <w:b w:val="0"/>
          <w:sz w:val="28"/>
          <w:szCs w:val="28"/>
        </w:rPr>
        <w:t>联系方式</w:t>
      </w:r>
      <w:bookmarkEnd w:id="11"/>
      <w:bookmarkEnd w:id="12"/>
      <w:bookmarkEnd w:id="13"/>
      <w:bookmarkEnd w:id="14"/>
    </w:p>
    <w:p>
      <w:pPr>
        <w:pStyle w:val="6"/>
        <w:spacing w:line="360" w:lineRule="auto"/>
        <w:ind w:firstLine="840" w:firstLineChars="300"/>
        <w:rPr>
          <w:rFonts w:hint="default" w:ascii="仿宋" w:hAnsi="仿宋" w:eastAsia="仿宋"/>
          <w:sz w:val="28"/>
          <w:szCs w:val="28"/>
          <w:lang w:val="en-US" w:eastAsia="zh-CN"/>
        </w:rPr>
      </w:pPr>
      <w:r>
        <w:rPr>
          <w:rFonts w:hint="eastAsia" w:ascii="仿宋" w:hAnsi="仿宋" w:eastAsia="仿宋"/>
          <w:sz w:val="28"/>
          <w:szCs w:val="28"/>
        </w:rPr>
        <w:t>项目联系人：</w:t>
      </w:r>
      <w:r>
        <w:rPr>
          <w:rFonts w:hint="eastAsia" w:ascii="仿宋" w:hAnsi="仿宋" w:eastAsia="仿宋"/>
          <w:sz w:val="28"/>
          <w:szCs w:val="28"/>
          <w:u w:val="single"/>
          <w:lang w:val="en-US" w:eastAsia="zh-CN"/>
        </w:rPr>
        <w:t>李聪</w:t>
      </w:r>
    </w:p>
    <w:p>
      <w:pPr>
        <w:spacing w:line="360" w:lineRule="auto"/>
        <w:ind w:firstLine="840" w:firstLineChars="300"/>
        <w:rPr>
          <w:rFonts w:hint="default" w:ascii="仿宋" w:hAnsi="仿宋" w:eastAsia="仿宋"/>
          <w:sz w:val="28"/>
          <w:szCs w:val="28"/>
          <w:u w:val="single"/>
          <w:lang w:val="en-US"/>
        </w:rPr>
      </w:pPr>
      <w:r>
        <w:rPr>
          <w:rFonts w:hint="eastAsia" w:ascii="仿宋" w:hAnsi="仿宋" w:eastAsia="仿宋"/>
          <w:sz w:val="28"/>
          <w:szCs w:val="28"/>
        </w:rPr>
        <w:t>电　  话：</w:t>
      </w:r>
      <w:r>
        <w:rPr>
          <w:rFonts w:hint="eastAsia" w:ascii="宋体" w:hAnsi="宋体" w:cs="宋体"/>
          <w:color w:val="auto"/>
          <w:sz w:val="24"/>
          <w:szCs w:val="24"/>
          <w:highlight w:val="none"/>
          <w:u w:val="none"/>
          <w:lang w:val="en-US" w:eastAsia="zh-CN"/>
        </w:rPr>
        <w:t>15210199139</w:t>
      </w:r>
    </w:p>
    <w:p>
      <w:pPr>
        <w:rPr>
          <w:rFonts w:ascii="黑体" w:hAnsi="黑体" w:eastAsia="黑体" w:cs="宋体"/>
          <w:kern w:val="0"/>
          <w:sz w:val="28"/>
          <w:szCs w:val="28"/>
        </w:rPr>
      </w:pPr>
      <w:r>
        <w:rPr>
          <w:rFonts w:hint="eastAsia" w:ascii="黑体" w:hAnsi="黑体" w:eastAsia="黑体" w:cs="宋体"/>
          <w:kern w:val="0"/>
          <w:sz w:val="28"/>
          <w:szCs w:val="28"/>
        </w:rPr>
        <w:t>十、附件</w:t>
      </w:r>
    </w:p>
    <w:p>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1.采购文件（</w:t>
      </w:r>
      <w:r>
        <w:rPr>
          <w:rFonts w:hint="eastAsia" w:ascii="仿宋" w:hAnsi="仿宋" w:eastAsia="仿宋" w:cs="宋体"/>
          <w:i/>
          <w:iCs/>
          <w:kern w:val="0"/>
          <w:sz w:val="28"/>
          <w:szCs w:val="28"/>
        </w:rPr>
        <w:t>已公告的可不重复公告</w:t>
      </w:r>
      <w:r>
        <w:rPr>
          <w:rFonts w:hint="eastAsia" w:ascii="仿宋" w:hAnsi="仿宋" w:eastAsia="仿宋" w:cs="宋体"/>
          <w:kern w:val="0"/>
          <w:sz w:val="28"/>
          <w:szCs w:val="28"/>
        </w:rPr>
        <w:t>）</w:t>
      </w:r>
    </w:p>
    <w:p>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2.</w:t>
      </w:r>
      <w:r>
        <w:rPr>
          <w:rFonts w:ascii="仿宋" w:hAnsi="仿宋" w:eastAsia="仿宋" w:cs="宋体"/>
          <w:kern w:val="0"/>
          <w:sz w:val="28"/>
          <w:szCs w:val="28"/>
        </w:rPr>
        <w:t>被推荐供应商名单和推荐理由（</w:t>
      </w:r>
      <w:r>
        <w:rPr>
          <w:rFonts w:hint="eastAsia" w:ascii="仿宋" w:hAnsi="仿宋" w:eastAsia="仿宋" w:cs="宋体"/>
          <w:i/>
          <w:iCs/>
          <w:kern w:val="0"/>
          <w:sz w:val="28"/>
          <w:szCs w:val="28"/>
        </w:rPr>
        <w:t>适用于</w:t>
      </w:r>
      <w:r>
        <w:rPr>
          <w:rFonts w:ascii="仿宋" w:hAnsi="仿宋" w:eastAsia="仿宋" w:cs="宋体"/>
          <w:i/>
          <w:iCs/>
          <w:kern w:val="0"/>
          <w:sz w:val="28"/>
          <w:szCs w:val="28"/>
        </w:rPr>
        <w:t>邀请招标</w:t>
      </w:r>
      <w:r>
        <w:rPr>
          <w:rFonts w:hint="eastAsia" w:ascii="仿宋" w:hAnsi="仿宋" w:eastAsia="仿宋" w:cs="宋体"/>
          <w:i/>
          <w:iCs/>
          <w:kern w:val="0"/>
          <w:sz w:val="28"/>
          <w:szCs w:val="28"/>
        </w:rPr>
        <w:t>、</w:t>
      </w:r>
      <w:r>
        <w:rPr>
          <w:rFonts w:ascii="仿宋" w:hAnsi="仿宋" w:eastAsia="仿宋" w:cs="宋体"/>
          <w:i/>
          <w:iCs/>
          <w:kern w:val="0"/>
          <w:sz w:val="28"/>
          <w:szCs w:val="28"/>
        </w:rPr>
        <w:t>竞争性谈判</w:t>
      </w:r>
      <w:r>
        <w:rPr>
          <w:rFonts w:hint="eastAsia" w:ascii="仿宋" w:hAnsi="仿宋" w:eastAsia="仿宋" w:cs="宋体"/>
          <w:i/>
          <w:iCs/>
          <w:kern w:val="0"/>
          <w:sz w:val="28"/>
          <w:szCs w:val="28"/>
        </w:rPr>
        <w:t>、询价、竞争性</w:t>
      </w:r>
      <w:r>
        <w:rPr>
          <w:rFonts w:ascii="仿宋" w:hAnsi="仿宋" w:eastAsia="仿宋" w:cs="宋体"/>
          <w:i/>
          <w:iCs/>
          <w:kern w:val="0"/>
          <w:sz w:val="28"/>
          <w:szCs w:val="28"/>
        </w:rPr>
        <w:t>磋商采用书面推荐方式产生</w:t>
      </w:r>
      <w:r>
        <w:rPr>
          <w:rFonts w:hint="eastAsia" w:ascii="仿宋" w:hAnsi="仿宋" w:eastAsia="仿宋" w:cs="宋体"/>
          <w:i/>
          <w:iCs/>
          <w:kern w:val="0"/>
          <w:sz w:val="28"/>
          <w:szCs w:val="28"/>
        </w:rPr>
        <w:t>符合</w:t>
      </w:r>
      <w:r>
        <w:rPr>
          <w:rFonts w:ascii="仿宋" w:hAnsi="仿宋" w:eastAsia="仿宋" w:cs="宋体"/>
          <w:i/>
          <w:iCs/>
          <w:kern w:val="0"/>
          <w:sz w:val="28"/>
          <w:szCs w:val="28"/>
        </w:rPr>
        <w:t>资格条件</w:t>
      </w:r>
      <w:r>
        <w:rPr>
          <w:rFonts w:hint="eastAsia" w:ascii="仿宋" w:hAnsi="仿宋" w:eastAsia="仿宋" w:cs="宋体"/>
          <w:i/>
          <w:iCs/>
          <w:kern w:val="0"/>
          <w:sz w:val="28"/>
          <w:szCs w:val="28"/>
        </w:rPr>
        <w:t>的</w:t>
      </w:r>
      <w:r>
        <w:rPr>
          <w:rFonts w:ascii="仿宋" w:hAnsi="仿宋" w:eastAsia="仿宋" w:cs="宋体"/>
          <w:i/>
          <w:iCs/>
          <w:kern w:val="0"/>
          <w:sz w:val="28"/>
          <w:szCs w:val="28"/>
        </w:rPr>
        <w:t>潜在供应</w:t>
      </w:r>
      <w:r>
        <w:rPr>
          <w:rFonts w:hint="eastAsia" w:ascii="仿宋" w:hAnsi="仿宋" w:eastAsia="仿宋" w:cs="宋体"/>
          <w:i/>
          <w:iCs/>
          <w:kern w:val="0"/>
          <w:sz w:val="28"/>
          <w:szCs w:val="28"/>
        </w:rPr>
        <w:t>商</w:t>
      </w:r>
      <w:r>
        <w:rPr>
          <w:rFonts w:ascii="仿宋" w:hAnsi="仿宋" w:eastAsia="仿宋" w:cs="宋体"/>
          <w:i/>
          <w:iCs/>
          <w:kern w:val="0"/>
          <w:sz w:val="28"/>
          <w:szCs w:val="28"/>
        </w:rPr>
        <w:t>的</w:t>
      </w:r>
      <w:r>
        <w:rPr>
          <w:rFonts w:ascii="仿宋" w:hAnsi="仿宋" w:eastAsia="仿宋" w:cs="宋体"/>
          <w:kern w:val="0"/>
          <w:sz w:val="28"/>
          <w:szCs w:val="28"/>
        </w:rPr>
        <w:t>）</w:t>
      </w:r>
    </w:p>
    <w:p>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3.中标、成交供应商为中小企业的，应公告其《中小企业声明函》</w:t>
      </w:r>
    </w:p>
    <w:p>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4.中标、成交供应商为残疾人福利性单位的，应公告其《残疾人福利性单位声明函》</w:t>
      </w:r>
    </w:p>
    <w:p>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5.中标、成交供应商为注册地在国家级贫困县域内物业公司的，应公告注册所在县扶贫部门出具的聘用建档立卡贫困人员具体数量的证明。</w:t>
      </w:r>
    </w:p>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moder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9663037"/>
    </w:sdtPr>
    <w:sdtContent>
      <w:p>
        <w:pPr>
          <w:pStyle w:val="9"/>
          <w:jc w:val="center"/>
        </w:pPr>
        <w:r>
          <w:fldChar w:fldCharType="begin"/>
        </w:r>
        <w:r>
          <w:instrText xml:space="preserve">PAGE   \* MERGEFORMAT</w:instrText>
        </w:r>
        <w:r>
          <w:fldChar w:fldCharType="separate"/>
        </w:r>
        <w:r>
          <w:rPr>
            <w:lang w:val="zh-CN"/>
          </w:rPr>
          <w:t>1</w:t>
        </w:r>
        <w:r>
          <w:fldChar w:fldCharType="end"/>
        </w:r>
      </w:p>
    </w:sdtContent>
  </w:sdt>
  <w:p>
    <w:pPr>
      <w:pStyle w:val="9"/>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094"/>
    <w:rsid w:val="000312DE"/>
    <w:rsid w:val="0005737B"/>
    <w:rsid w:val="000726D8"/>
    <w:rsid w:val="000A6769"/>
    <w:rsid w:val="000D3B95"/>
    <w:rsid w:val="000D5040"/>
    <w:rsid w:val="000D6508"/>
    <w:rsid w:val="00110BD8"/>
    <w:rsid w:val="00151C8B"/>
    <w:rsid w:val="00244094"/>
    <w:rsid w:val="00246690"/>
    <w:rsid w:val="002F4172"/>
    <w:rsid w:val="00322E12"/>
    <w:rsid w:val="003D04C7"/>
    <w:rsid w:val="00430D5D"/>
    <w:rsid w:val="00445621"/>
    <w:rsid w:val="004B0417"/>
    <w:rsid w:val="004F0CA3"/>
    <w:rsid w:val="004F449A"/>
    <w:rsid w:val="005902A4"/>
    <w:rsid w:val="006939FC"/>
    <w:rsid w:val="0079663A"/>
    <w:rsid w:val="007E2D83"/>
    <w:rsid w:val="0080774A"/>
    <w:rsid w:val="00877C6E"/>
    <w:rsid w:val="008974EE"/>
    <w:rsid w:val="008A1192"/>
    <w:rsid w:val="008A2FE7"/>
    <w:rsid w:val="0090581E"/>
    <w:rsid w:val="00966F02"/>
    <w:rsid w:val="009A15C7"/>
    <w:rsid w:val="00A30F31"/>
    <w:rsid w:val="00A3374C"/>
    <w:rsid w:val="00C37A88"/>
    <w:rsid w:val="00C52F06"/>
    <w:rsid w:val="00C61BBE"/>
    <w:rsid w:val="00C95981"/>
    <w:rsid w:val="00D26832"/>
    <w:rsid w:val="00DA7067"/>
    <w:rsid w:val="00DC09FA"/>
    <w:rsid w:val="00E457B7"/>
    <w:rsid w:val="00E702D6"/>
    <w:rsid w:val="00E75E92"/>
    <w:rsid w:val="00ED7C2A"/>
    <w:rsid w:val="00EE3266"/>
    <w:rsid w:val="00F53A4B"/>
    <w:rsid w:val="1B043DD1"/>
    <w:rsid w:val="1DED43E0"/>
    <w:rsid w:val="217C6D52"/>
    <w:rsid w:val="226A4635"/>
    <w:rsid w:val="29E67293"/>
    <w:rsid w:val="3A214BAF"/>
    <w:rsid w:val="41BB6C42"/>
    <w:rsid w:val="43C46E0D"/>
    <w:rsid w:val="4AF501F4"/>
    <w:rsid w:val="71963185"/>
    <w:rsid w:val="7C5427D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23"/>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4"/>
    <w:qFormat/>
    <w:uiPriority w:val="0"/>
    <w:pPr>
      <w:keepNext/>
      <w:keepLines/>
      <w:spacing w:before="260" w:after="260" w:line="415" w:lineRule="auto"/>
      <w:outlineLvl w:val="1"/>
    </w:pPr>
    <w:rPr>
      <w:rFonts w:ascii="Arial" w:hAnsi="Arial" w:eastAsia="黑体" w:cs="Arial"/>
      <w:b/>
      <w:bCs/>
      <w:sz w:val="32"/>
      <w:szCs w:val="32"/>
    </w:rPr>
  </w:style>
  <w:style w:type="character" w:default="1" w:styleId="18">
    <w:name w:val="Default Paragraph Font"/>
    <w:semiHidden/>
    <w:unhideWhenUsed/>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25"/>
    <w:semiHidden/>
    <w:unhideWhenUsed/>
    <w:qFormat/>
    <w:uiPriority w:val="99"/>
    <w:pPr>
      <w:jc w:val="left"/>
    </w:pPr>
  </w:style>
  <w:style w:type="paragraph" w:styleId="5">
    <w:name w:val="toc 3"/>
    <w:basedOn w:val="1"/>
    <w:next w:val="1"/>
    <w:unhideWhenUsed/>
    <w:qFormat/>
    <w:uiPriority w:val="39"/>
    <w:pPr>
      <w:widowControl/>
      <w:spacing w:after="100" w:line="259" w:lineRule="auto"/>
      <w:ind w:left="440"/>
      <w:jc w:val="left"/>
    </w:pPr>
    <w:rPr>
      <w:rFonts w:asciiTheme="minorHAnsi" w:hAnsiTheme="minorHAnsi" w:eastAsiaTheme="minorEastAsia"/>
      <w:kern w:val="0"/>
      <w:sz w:val="22"/>
      <w:szCs w:val="22"/>
    </w:rPr>
  </w:style>
  <w:style w:type="paragraph" w:styleId="6">
    <w:name w:val="Plain Text"/>
    <w:basedOn w:val="1"/>
    <w:link w:val="26"/>
    <w:qFormat/>
    <w:uiPriority w:val="0"/>
    <w:rPr>
      <w:rFonts w:ascii="宋体" w:hAnsi="Courier New" w:eastAsiaTheme="minorEastAsia" w:cstheme="minorBidi"/>
      <w:szCs w:val="22"/>
    </w:rPr>
  </w:style>
  <w:style w:type="paragraph" w:styleId="7">
    <w:name w:val="Date"/>
    <w:basedOn w:val="1"/>
    <w:next w:val="1"/>
    <w:link w:val="27"/>
    <w:qFormat/>
    <w:uiPriority w:val="0"/>
    <w:pPr>
      <w:adjustRightInd w:val="0"/>
      <w:spacing w:line="360" w:lineRule="atLeast"/>
      <w:textAlignment w:val="baseline"/>
    </w:pPr>
    <w:rPr>
      <w:rFonts w:ascii="宋体" w:cs="宋体"/>
      <w:kern w:val="0"/>
      <w:sz w:val="24"/>
      <w:szCs w:val="24"/>
    </w:rPr>
  </w:style>
  <w:style w:type="paragraph" w:styleId="8">
    <w:name w:val="Balloon Text"/>
    <w:basedOn w:val="1"/>
    <w:link w:val="28"/>
    <w:semiHidden/>
    <w:unhideWhenUsed/>
    <w:qFormat/>
    <w:uiPriority w:val="99"/>
    <w:rPr>
      <w:sz w:val="18"/>
      <w:szCs w:val="18"/>
    </w:rPr>
  </w:style>
  <w:style w:type="paragraph" w:styleId="9">
    <w:name w:val="footer"/>
    <w:basedOn w:val="1"/>
    <w:link w:val="22"/>
    <w:unhideWhenUsed/>
    <w:qFormat/>
    <w:uiPriority w:val="99"/>
    <w:pPr>
      <w:tabs>
        <w:tab w:val="center" w:pos="4153"/>
        <w:tab w:val="right" w:pos="8306"/>
      </w:tabs>
      <w:snapToGrid w:val="0"/>
      <w:jc w:val="left"/>
    </w:pPr>
    <w:rPr>
      <w:sz w:val="18"/>
      <w:szCs w:val="18"/>
    </w:rPr>
  </w:style>
  <w:style w:type="paragraph" w:styleId="10">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unhideWhenUsed/>
    <w:qFormat/>
    <w:uiPriority w:val="39"/>
    <w:pPr>
      <w:widowControl/>
      <w:spacing w:after="100" w:line="259" w:lineRule="auto"/>
      <w:jc w:val="left"/>
    </w:pPr>
    <w:rPr>
      <w:rFonts w:asciiTheme="minorHAnsi" w:hAnsiTheme="minorHAnsi" w:eastAsiaTheme="minorEastAsia"/>
      <w:kern w:val="0"/>
      <w:sz w:val="22"/>
      <w:szCs w:val="22"/>
    </w:rPr>
  </w:style>
  <w:style w:type="paragraph" w:styleId="12">
    <w:name w:val="toc 2"/>
    <w:basedOn w:val="1"/>
    <w:next w:val="1"/>
    <w:unhideWhenUsed/>
    <w:qFormat/>
    <w:uiPriority w:val="39"/>
    <w:pPr>
      <w:widowControl/>
      <w:spacing w:after="100" w:line="259" w:lineRule="auto"/>
      <w:ind w:left="220"/>
      <w:jc w:val="left"/>
    </w:pPr>
    <w:rPr>
      <w:rFonts w:asciiTheme="minorHAnsi" w:hAnsiTheme="minorHAnsi" w:eastAsiaTheme="minorEastAsia"/>
      <w:kern w:val="0"/>
      <w:sz w:val="22"/>
      <w:szCs w:val="22"/>
    </w:rPr>
  </w:style>
  <w:style w:type="paragraph" w:styleId="13">
    <w:name w:val="Body Text 2"/>
    <w:basedOn w:val="1"/>
    <w:link w:val="29"/>
    <w:qFormat/>
    <w:uiPriority w:val="0"/>
    <w:pPr>
      <w:spacing w:after="120" w:line="480" w:lineRule="auto"/>
    </w:pPr>
  </w:style>
  <w:style w:type="paragraph" w:styleId="14">
    <w:name w:val="Normal (Web)"/>
    <w:basedOn w:val="1"/>
    <w:semiHidden/>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30"/>
    <w:semiHidden/>
    <w:unhideWhenUsed/>
    <w:qFormat/>
    <w:uiPriority w:val="99"/>
    <w:rPr>
      <w:b/>
      <w:bCs/>
    </w:rPr>
  </w:style>
  <w:style w:type="table" w:styleId="17">
    <w:name w:val="Table Grid"/>
    <w:basedOn w:val="16"/>
    <w:qFormat/>
    <w:uiPriority w:val="0"/>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Hyperlink"/>
    <w:basedOn w:val="18"/>
    <w:unhideWhenUsed/>
    <w:qFormat/>
    <w:uiPriority w:val="99"/>
    <w:rPr>
      <w:color w:val="0000FF" w:themeColor="hyperlink"/>
      <w:u w:val="single"/>
      <w14:textFill>
        <w14:solidFill>
          <w14:schemeClr w14:val="hlink"/>
        </w14:solidFill>
      </w14:textFill>
    </w:rPr>
  </w:style>
  <w:style w:type="character" w:styleId="20">
    <w:name w:val="annotation reference"/>
    <w:basedOn w:val="18"/>
    <w:semiHidden/>
    <w:unhideWhenUsed/>
    <w:qFormat/>
    <w:uiPriority w:val="99"/>
    <w:rPr>
      <w:sz w:val="21"/>
      <w:szCs w:val="21"/>
    </w:rPr>
  </w:style>
  <w:style w:type="character" w:customStyle="1" w:styleId="21">
    <w:name w:val="页眉 Char"/>
    <w:basedOn w:val="18"/>
    <w:link w:val="10"/>
    <w:qFormat/>
    <w:uiPriority w:val="99"/>
    <w:rPr>
      <w:sz w:val="18"/>
      <w:szCs w:val="18"/>
    </w:rPr>
  </w:style>
  <w:style w:type="character" w:customStyle="1" w:styleId="22">
    <w:name w:val="页脚 Char"/>
    <w:basedOn w:val="18"/>
    <w:link w:val="9"/>
    <w:uiPriority w:val="99"/>
    <w:rPr>
      <w:sz w:val="18"/>
      <w:szCs w:val="18"/>
    </w:rPr>
  </w:style>
  <w:style w:type="character" w:customStyle="1" w:styleId="23">
    <w:name w:val="标题 1 Char"/>
    <w:basedOn w:val="18"/>
    <w:link w:val="2"/>
    <w:qFormat/>
    <w:uiPriority w:val="9"/>
    <w:rPr>
      <w:rFonts w:ascii="Times New Roman" w:hAnsi="Times New Roman" w:eastAsia="宋体" w:cs="Times New Roman"/>
      <w:b/>
      <w:bCs/>
      <w:kern w:val="44"/>
      <w:sz w:val="44"/>
      <w:szCs w:val="44"/>
    </w:rPr>
  </w:style>
  <w:style w:type="character" w:customStyle="1" w:styleId="24">
    <w:name w:val="标题 2 Char"/>
    <w:basedOn w:val="18"/>
    <w:link w:val="3"/>
    <w:qFormat/>
    <w:uiPriority w:val="0"/>
    <w:rPr>
      <w:rFonts w:ascii="Arial" w:hAnsi="Arial" w:eastAsia="黑体" w:cs="Arial"/>
      <w:b/>
      <w:bCs/>
      <w:sz w:val="32"/>
      <w:szCs w:val="32"/>
    </w:rPr>
  </w:style>
  <w:style w:type="character" w:customStyle="1" w:styleId="25">
    <w:name w:val="批注文字 Char"/>
    <w:basedOn w:val="18"/>
    <w:link w:val="4"/>
    <w:semiHidden/>
    <w:qFormat/>
    <w:uiPriority w:val="99"/>
    <w:rPr>
      <w:rFonts w:ascii="Times New Roman" w:hAnsi="Times New Roman" w:eastAsia="宋体" w:cs="Times New Roman"/>
      <w:szCs w:val="21"/>
    </w:rPr>
  </w:style>
  <w:style w:type="character" w:customStyle="1" w:styleId="26">
    <w:name w:val="纯文本 Char"/>
    <w:basedOn w:val="18"/>
    <w:link w:val="6"/>
    <w:qFormat/>
    <w:uiPriority w:val="0"/>
    <w:rPr>
      <w:rFonts w:ascii="宋体" w:hAnsi="Courier New"/>
    </w:rPr>
  </w:style>
  <w:style w:type="character" w:customStyle="1" w:styleId="27">
    <w:name w:val="日期 Char"/>
    <w:basedOn w:val="18"/>
    <w:link w:val="7"/>
    <w:qFormat/>
    <w:uiPriority w:val="0"/>
    <w:rPr>
      <w:rFonts w:ascii="宋体" w:hAnsi="Times New Roman" w:eastAsia="宋体" w:cs="宋体"/>
      <w:kern w:val="0"/>
      <w:sz w:val="24"/>
      <w:szCs w:val="24"/>
    </w:rPr>
  </w:style>
  <w:style w:type="character" w:customStyle="1" w:styleId="28">
    <w:name w:val="批注框文本 Char"/>
    <w:basedOn w:val="18"/>
    <w:link w:val="8"/>
    <w:semiHidden/>
    <w:qFormat/>
    <w:uiPriority w:val="99"/>
    <w:rPr>
      <w:rFonts w:ascii="Times New Roman" w:hAnsi="Times New Roman" w:eastAsia="宋体" w:cs="Times New Roman"/>
      <w:sz w:val="18"/>
      <w:szCs w:val="18"/>
    </w:rPr>
  </w:style>
  <w:style w:type="character" w:customStyle="1" w:styleId="29">
    <w:name w:val="正文文本 2 Char"/>
    <w:basedOn w:val="18"/>
    <w:link w:val="13"/>
    <w:qFormat/>
    <w:uiPriority w:val="0"/>
    <w:rPr>
      <w:rFonts w:ascii="Times New Roman" w:hAnsi="Times New Roman" w:eastAsia="宋体" w:cs="Times New Roman"/>
      <w:szCs w:val="21"/>
    </w:rPr>
  </w:style>
  <w:style w:type="character" w:customStyle="1" w:styleId="30">
    <w:name w:val="批注主题 Char"/>
    <w:basedOn w:val="25"/>
    <w:link w:val="15"/>
    <w:semiHidden/>
    <w:qFormat/>
    <w:uiPriority w:val="99"/>
    <w:rPr>
      <w:rFonts w:ascii="Times New Roman" w:hAnsi="Times New Roman" w:eastAsia="宋体" w:cs="Times New Roman"/>
      <w:b/>
      <w:bCs/>
      <w:szCs w:val="21"/>
    </w:rPr>
  </w:style>
  <w:style w:type="character" w:customStyle="1" w:styleId="31">
    <w:name w:val="纯文本 字符"/>
    <w:basedOn w:val="18"/>
    <w:semiHidden/>
    <w:qFormat/>
    <w:uiPriority w:val="99"/>
    <w:rPr>
      <w:rFonts w:hAnsi="Courier New" w:cs="Courier New" w:asciiTheme="minorEastAsia"/>
      <w:szCs w:val="21"/>
    </w:rPr>
  </w:style>
  <w:style w:type="paragraph" w:styleId="32">
    <w:name w:val="List Paragraph"/>
    <w:basedOn w:val="1"/>
    <w:qFormat/>
    <w:uiPriority w:val="34"/>
    <w:pPr>
      <w:ind w:firstLine="420" w:firstLineChars="200"/>
    </w:pPr>
  </w:style>
  <w:style w:type="paragraph" w:customStyle="1" w:styleId="33">
    <w:name w:val="修订1"/>
    <w:hidden/>
    <w:semiHidden/>
    <w:qFormat/>
    <w:uiPriority w:val="99"/>
    <w:rPr>
      <w:rFonts w:ascii="Times New Roman" w:hAnsi="Times New Roman" w:eastAsia="宋体" w:cs="Times New Roman"/>
      <w:kern w:val="2"/>
      <w:sz w:val="21"/>
      <w:szCs w:val="21"/>
      <w:lang w:val="en-US" w:eastAsia="zh-CN" w:bidi="ar-SA"/>
    </w:rPr>
  </w:style>
  <w:style w:type="paragraph" w:customStyle="1" w:styleId="34">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76092" w:themeColor="accent1" w:themeShade="BF"/>
      <w:kern w:val="0"/>
      <w:sz w:val="32"/>
      <w:szCs w:val="32"/>
    </w:rPr>
  </w:style>
  <w:style w:type="paragraph" w:customStyle="1" w:styleId="35">
    <w:name w:val="TOC Heading"/>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36">
    <w:name w:val="qowt-font10-gbk"/>
    <w:basedOn w:val="18"/>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Hewlett-Packard Company</Company>
  <Pages>3</Pages>
  <Words>4970</Words>
  <Characters>5030</Characters>
  <Lines>57</Lines>
  <Paragraphs>16</Paragraphs>
  <TotalTime>4</TotalTime>
  <ScaleCrop>false</ScaleCrop>
  <LinksUpToDate>false</LinksUpToDate>
  <CharactersWithSpaces>6760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2020-03-18T03:22:00Z</dcterms:created>
  <dc:creator>赵璧</dc:creator>
  <cp:lastModifiedBy>Administrator</cp:lastModifiedBy>
  <cp:lastPrinted>2020-03-23T07:37:00Z</cp:lastPrinted>
  <dcterms:modified xsi:type="dcterms:W3CDTF">2026-06-09T04:41:47Z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KSOTemplateDocerSaveRecord">
    <vt:lpwstr>eyJoZGlkIjoiN2UyNzk4Y2RhYTVkODk5MTJmZGJlMzcyMjIxMDcwMjEiLCJ1c2VySWQiOiIxNzk1MjI1MDI0In0=</vt:lpwstr>
  </property>
  <property fmtid="{D5CDD505-2E9C-101B-9397-08002B2CF9AE}" pid="4" name="ICV">
    <vt:lpwstr>D1266995904F468CA970449839762BE0</vt:lpwstr>
  </property>
</Properties>
</file>